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529"/>
      </w:tblGrid>
      <w:tr w:rsidR="00E80448" w14:paraId="768458D7" w14:textId="77777777" w:rsidTr="00366BAF">
        <w:tc>
          <w:tcPr>
            <w:tcW w:w="4536" w:type="dxa"/>
          </w:tcPr>
          <w:p w14:paraId="0ED6EAEF" w14:textId="168DEC9F" w:rsidR="0011358F" w:rsidRDefault="00104FD1" w:rsidP="00104FD1">
            <w:pPr>
              <w:spacing w:line="264" w:lineRule="auto"/>
              <w:ind w:firstLine="0"/>
              <w:jc w:val="center"/>
              <w:rPr>
                <w:b/>
                <w:sz w:val="26"/>
                <w:szCs w:val="26"/>
              </w:rPr>
            </w:pPr>
            <w:r w:rsidRPr="00104FD1">
              <w:rPr>
                <w:b/>
                <w:sz w:val="26"/>
                <w:szCs w:val="26"/>
              </w:rPr>
              <w:t xml:space="preserve">TÒA </w:t>
            </w:r>
            <w:r w:rsidR="0011358F">
              <w:rPr>
                <w:b/>
                <w:sz w:val="26"/>
                <w:szCs w:val="26"/>
              </w:rPr>
              <w:t>PHÚC THẨM</w:t>
            </w:r>
          </w:p>
          <w:p w14:paraId="4110C3C7" w14:textId="76B2CE70" w:rsidR="00E80448" w:rsidRDefault="0011358F" w:rsidP="00104FD1">
            <w:pPr>
              <w:spacing w:line="264" w:lineRule="auto"/>
              <w:ind w:firstLine="0"/>
              <w:jc w:val="center"/>
              <w:rPr>
                <w:b/>
                <w:sz w:val="26"/>
                <w:szCs w:val="26"/>
              </w:rPr>
            </w:pPr>
            <w:r>
              <w:rPr>
                <w:b/>
                <w:sz w:val="26"/>
                <w:szCs w:val="26"/>
              </w:rPr>
              <w:t xml:space="preserve">TÒA </w:t>
            </w:r>
            <w:r w:rsidR="00104FD1" w:rsidRPr="00104FD1">
              <w:rPr>
                <w:b/>
                <w:sz w:val="26"/>
                <w:szCs w:val="26"/>
              </w:rPr>
              <w:t>ÁN NHÂN DÂN TỐI CAO</w:t>
            </w:r>
          </w:p>
          <w:p w14:paraId="4052A92A" w14:textId="3E307A10" w:rsidR="0011358F" w:rsidRPr="000C1759" w:rsidRDefault="0011358F" w:rsidP="00104FD1">
            <w:pPr>
              <w:spacing w:line="264" w:lineRule="auto"/>
              <w:ind w:firstLine="0"/>
              <w:jc w:val="center"/>
              <w:rPr>
                <w:b/>
                <w:sz w:val="26"/>
                <w:szCs w:val="26"/>
              </w:rPr>
            </w:pPr>
            <w:r>
              <w:rPr>
                <w:b/>
                <w:sz w:val="26"/>
                <w:szCs w:val="26"/>
              </w:rPr>
              <w:t>TẠI HÀ NỘI</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62D09894" w:rsidR="00E80448" w:rsidRDefault="000E214A" w:rsidP="00104FD1">
            <w:pPr>
              <w:spacing w:line="264" w:lineRule="auto"/>
              <w:ind w:firstLine="0"/>
              <w:jc w:val="center"/>
              <w:rPr>
                <w:sz w:val="26"/>
                <w:szCs w:val="26"/>
              </w:rPr>
            </w:pPr>
            <w:r w:rsidRPr="000E214A">
              <w:rPr>
                <w:sz w:val="26"/>
                <w:szCs w:val="26"/>
              </w:rPr>
              <w:t xml:space="preserve">Số: </w:t>
            </w:r>
            <w:r w:rsidR="0011358F">
              <w:rPr>
                <w:sz w:val="26"/>
                <w:szCs w:val="26"/>
              </w:rPr>
              <w:t>4559</w:t>
            </w:r>
            <w:r w:rsidRPr="000E214A">
              <w:rPr>
                <w:sz w:val="26"/>
                <w:szCs w:val="26"/>
              </w:rPr>
              <w:t>/</w:t>
            </w:r>
            <w:r w:rsidR="00AB24D6">
              <w:rPr>
                <w:sz w:val="26"/>
                <w:szCs w:val="26"/>
              </w:rPr>
              <w:t>RKN-TPT1</w:t>
            </w:r>
            <w:bookmarkStart w:id="0" w:name="_GoBack"/>
            <w:bookmarkEnd w:id="0"/>
          </w:p>
          <w:p w14:paraId="14A263EC" w14:textId="100AD150" w:rsidR="00E80448" w:rsidRPr="0056700C" w:rsidRDefault="000E214A" w:rsidP="00366BAF">
            <w:pPr>
              <w:spacing w:line="264" w:lineRule="auto"/>
              <w:ind w:firstLine="0"/>
              <w:jc w:val="center"/>
              <w:rPr>
                <w:sz w:val="24"/>
                <w:szCs w:val="24"/>
              </w:rPr>
            </w:pPr>
            <w:r w:rsidRPr="000E214A">
              <w:rPr>
                <w:sz w:val="24"/>
                <w:szCs w:val="24"/>
              </w:rPr>
              <w:t>V/v</w:t>
            </w:r>
            <w:r w:rsidR="00366BAF">
              <w:rPr>
                <w:sz w:val="24"/>
                <w:szCs w:val="24"/>
              </w:rPr>
              <w:t>:</w:t>
            </w:r>
            <w:r w:rsidRPr="000E214A">
              <w:rPr>
                <w:sz w:val="24"/>
                <w:szCs w:val="24"/>
              </w:rPr>
              <w:t xml:space="preserve"> </w:t>
            </w:r>
            <w:r w:rsidR="00366BAF">
              <w:rPr>
                <w:sz w:val="24"/>
                <w:szCs w:val="24"/>
              </w:rPr>
              <w:t xml:space="preserve">Rút kinh nghiệm về việc áp dụng </w:t>
            </w:r>
            <w:r w:rsidR="00366BAF">
              <w:rPr>
                <w:sz w:val="24"/>
                <w:szCs w:val="24"/>
              </w:rPr>
              <w:br/>
              <w:t>điểm g khoản 1 Điều 52 BLHS</w:t>
            </w:r>
          </w:p>
        </w:tc>
        <w:tc>
          <w:tcPr>
            <w:tcW w:w="5529"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05A74B8E" w:rsidR="00E80448" w:rsidRPr="000C1759" w:rsidRDefault="00366BAF" w:rsidP="00366BAF">
            <w:pPr>
              <w:spacing w:line="264" w:lineRule="auto"/>
              <w:ind w:firstLine="0"/>
              <w:jc w:val="right"/>
              <w:rPr>
                <w:i/>
                <w:sz w:val="26"/>
                <w:szCs w:val="26"/>
              </w:rPr>
            </w:pPr>
            <w:r>
              <w:rPr>
                <w:i/>
                <w:sz w:val="26"/>
                <w:szCs w:val="26"/>
              </w:rPr>
              <w:t>Hà Nội, ngày 04</w:t>
            </w:r>
            <w:r w:rsidR="000E214A" w:rsidRPr="000E214A">
              <w:rPr>
                <w:i/>
                <w:sz w:val="26"/>
                <w:szCs w:val="26"/>
              </w:rPr>
              <w:t xml:space="preserve"> tháng </w:t>
            </w:r>
            <w:r>
              <w:rPr>
                <w:i/>
                <w:sz w:val="26"/>
                <w:szCs w:val="26"/>
              </w:rPr>
              <w:t>5</w:t>
            </w:r>
            <w:r w:rsidR="000E214A" w:rsidRPr="000E214A">
              <w:rPr>
                <w:i/>
                <w:sz w:val="26"/>
                <w:szCs w:val="26"/>
              </w:rPr>
              <w:t xml:space="preserve"> năm 20</w:t>
            </w:r>
            <w:r>
              <w:rPr>
                <w:i/>
                <w:sz w:val="26"/>
                <w:szCs w:val="26"/>
              </w:rPr>
              <w:t>26</w:t>
            </w:r>
          </w:p>
        </w:tc>
      </w:tr>
    </w:tbl>
    <w:p w14:paraId="4E5115EF" w14:textId="77777777" w:rsidR="00E80448" w:rsidRDefault="00E80448" w:rsidP="00104FD1">
      <w:pPr>
        <w:spacing w:line="264" w:lineRule="auto"/>
        <w:ind w:firstLine="0"/>
        <w:rPr>
          <w:sz w:val="26"/>
          <w:szCs w:val="26"/>
        </w:rPr>
      </w:pPr>
    </w:p>
    <w:p w14:paraId="1A997C11" w14:textId="20BA9B28" w:rsidR="00D3773A" w:rsidRPr="00D3773A" w:rsidRDefault="00D3773A" w:rsidP="00CA0573">
      <w:pPr>
        <w:spacing w:line="264" w:lineRule="auto"/>
        <w:jc w:val="center"/>
        <w:rPr>
          <w:sz w:val="26"/>
          <w:szCs w:val="26"/>
        </w:rPr>
      </w:pPr>
      <w:r w:rsidRPr="00D3773A">
        <w:rPr>
          <w:sz w:val="26"/>
          <w:szCs w:val="26"/>
        </w:rPr>
        <w:t xml:space="preserve">Kính gửi: </w:t>
      </w:r>
      <w:r w:rsidR="00366BAF">
        <w:rPr>
          <w:sz w:val="26"/>
          <w:szCs w:val="26"/>
        </w:rPr>
        <w:t>Tòa án nhân dân các tỉnh, thành phố phía Bắc</w:t>
      </w:r>
      <w:r w:rsidR="00366BAF">
        <w:rPr>
          <w:rStyle w:val="FootnoteReference"/>
          <w:sz w:val="26"/>
          <w:szCs w:val="26"/>
        </w:rPr>
        <w:footnoteReference w:id="1"/>
      </w:r>
      <w:r w:rsidR="00104FD1">
        <w:rPr>
          <w:sz w:val="26"/>
          <w:szCs w:val="26"/>
        </w:rPr>
        <w:t>.</w:t>
      </w:r>
    </w:p>
    <w:p w14:paraId="0D395326" w14:textId="77777777" w:rsidR="00D3773A" w:rsidRPr="00D3773A" w:rsidRDefault="00D3773A" w:rsidP="00D3773A">
      <w:pPr>
        <w:spacing w:line="312" w:lineRule="auto"/>
        <w:rPr>
          <w:sz w:val="26"/>
          <w:szCs w:val="26"/>
        </w:rPr>
      </w:pPr>
    </w:p>
    <w:p w14:paraId="0665E692" w14:textId="6904AE55" w:rsidR="0011358F" w:rsidRPr="0011358F" w:rsidRDefault="0011358F" w:rsidP="00CA0573">
      <w:pPr>
        <w:spacing w:line="264" w:lineRule="auto"/>
        <w:rPr>
          <w:sz w:val="26"/>
          <w:szCs w:val="26"/>
        </w:rPr>
      </w:pPr>
      <w:r w:rsidRPr="0011358F">
        <w:rPr>
          <w:sz w:val="26"/>
          <w:szCs w:val="26"/>
        </w:rPr>
        <w:t xml:space="preserve">Ngày 30/9/2025, Hội đồng Thẩm phán Tòa án nhân dân tối cao đã ban hành. Nghị quyết 04/2025/NQ-HĐTP </w:t>
      </w:r>
      <w:r w:rsidR="00CA0573" w:rsidRPr="00CA0573">
        <w:rPr>
          <w:i/>
          <w:sz w:val="26"/>
          <w:szCs w:val="26"/>
        </w:rPr>
        <w:t>“</w:t>
      </w:r>
      <w:r w:rsidRPr="00CA0573">
        <w:rPr>
          <w:i/>
          <w:sz w:val="26"/>
          <w:szCs w:val="26"/>
        </w:rPr>
        <w:t>Hướng dẫn áp dụng các tình tiết giảm nhẹ trách nhiệm hình sự, các tình tiết tăng nặng trách nhiệm hình sự quy định tại Điều 51 và Điều 52 của Bộ luật Hình sự</w:t>
      </w:r>
      <w:r w:rsidR="00CA0573" w:rsidRPr="00CA0573">
        <w:rPr>
          <w:i/>
          <w:sz w:val="26"/>
          <w:szCs w:val="26"/>
        </w:rPr>
        <w:t>”</w:t>
      </w:r>
      <w:r w:rsidRPr="0011358F">
        <w:rPr>
          <w:sz w:val="26"/>
          <w:szCs w:val="26"/>
        </w:rPr>
        <w:t xml:space="preserve"> (có hiệu lực kể từ ngày 15/11/2025). Theo hướng dẫn tại điểm a khoản 2 Điều 5 Nghị quyết này thì đối với trường hợp người phạm tội có nhiều tình tiết tăng nặng trách nhiệm hình sự, trong đó có tình tiết vừa là tình tiết định khung, vừa là tình tiết tăng nặng trách nhiệm hình sự, nếu </w:t>
      </w:r>
      <w:r w:rsidR="00CA0573" w:rsidRPr="00CA0573">
        <w:rPr>
          <w:i/>
          <w:sz w:val="26"/>
          <w:szCs w:val="26"/>
        </w:rPr>
        <w:t>“</w:t>
      </w:r>
      <w:r w:rsidRPr="00CA0573">
        <w:rPr>
          <w:i/>
          <w:sz w:val="26"/>
          <w:szCs w:val="26"/>
        </w:rPr>
        <w:t>tình tiết định khung đồng thời là tình tiết tăng nặng trách nhiệm hình sự quy định tại khoản 1 Điều 52 của Bộ luật Hình sự mà không cùng một khoản định khung của điều luật thì áp dụng tình tiết định khung cao nhất và các tình tiết còn lại không coi là tình tiết tăng nặng trách nhiệm hình sự</w:t>
      </w:r>
      <w:r w:rsidR="00CA0573" w:rsidRPr="00CA0573">
        <w:rPr>
          <w:i/>
          <w:sz w:val="26"/>
          <w:szCs w:val="26"/>
        </w:rPr>
        <w:t>”</w:t>
      </w:r>
      <w:r w:rsidR="00CA0573">
        <w:rPr>
          <w:sz w:val="26"/>
          <w:szCs w:val="26"/>
        </w:rPr>
        <w:t>.</w:t>
      </w:r>
    </w:p>
    <w:p w14:paraId="71306DE0" w14:textId="7C810D80" w:rsidR="0011358F" w:rsidRPr="0011358F" w:rsidRDefault="0011358F" w:rsidP="00CA0573">
      <w:pPr>
        <w:spacing w:line="264" w:lineRule="auto"/>
        <w:rPr>
          <w:sz w:val="26"/>
          <w:szCs w:val="26"/>
        </w:rPr>
      </w:pPr>
      <w:r w:rsidRPr="0011358F">
        <w:rPr>
          <w:sz w:val="26"/>
          <w:szCs w:val="26"/>
        </w:rPr>
        <w:t xml:space="preserve">Theo hướng dẫn nêu trên, đối với trường hợp bị cáo phạm tội từ 02 lần trở lên mà trong điều luật có tình tiết định khung hình phạt là </w:t>
      </w:r>
      <w:r w:rsidR="00CA0573" w:rsidRPr="00CA0573">
        <w:rPr>
          <w:i/>
          <w:sz w:val="26"/>
          <w:szCs w:val="26"/>
        </w:rPr>
        <w:t>“</w:t>
      </w:r>
      <w:r w:rsidRPr="00CA0573">
        <w:rPr>
          <w:i/>
          <w:sz w:val="26"/>
          <w:szCs w:val="26"/>
        </w:rPr>
        <w:t>Phạm tội 02 lần trở lên</w:t>
      </w:r>
      <w:r w:rsidR="00CA0573" w:rsidRPr="00CA0573">
        <w:rPr>
          <w:i/>
          <w:sz w:val="26"/>
          <w:szCs w:val="26"/>
        </w:rPr>
        <w:t>”</w:t>
      </w:r>
      <w:r w:rsidRPr="0011358F">
        <w:rPr>
          <w:sz w:val="26"/>
          <w:szCs w:val="26"/>
        </w:rPr>
        <w:t xml:space="preserve">, đồng thời bị cáo còn có những tình tiết khác câu thành định khung tăng nặng ở khoản cao hơn thì áp dụng tình tiết định khung cao nhất; nếu tình tiết </w:t>
      </w:r>
      <w:r w:rsidR="00CA0573" w:rsidRPr="00CA0573">
        <w:rPr>
          <w:i/>
          <w:sz w:val="26"/>
          <w:szCs w:val="26"/>
        </w:rPr>
        <w:t>“</w:t>
      </w:r>
      <w:r w:rsidRPr="00CA0573">
        <w:rPr>
          <w:i/>
          <w:sz w:val="26"/>
          <w:szCs w:val="26"/>
        </w:rPr>
        <w:t>Phạm tội 02 lần trở lên</w:t>
      </w:r>
      <w:r w:rsidR="00CA0573" w:rsidRPr="00CA0573">
        <w:rPr>
          <w:i/>
          <w:sz w:val="26"/>
          <w:szCs w:val="26"/>
        </w:rPr>
        <w:t>”</w:t>
      </w:r>
      <w:r w:rsidRPr="0011358F">
        <w:rPr>
          <w:sz w:val="26"/>
          <w:szCs w:val="26"/>
        </w:rPr>
        <w:t xml:space="preserve"> không phải là tình tiết định khung cao nhất thì cũng không coi là tình tiết tăng nặng trách nhiệm hình sự quy định tại điểm g k</w:t>
      </w:r>
      <w:r w:rsidR="00CA0573">
        <w:rPr>
          <w:sz w:val="26"/>
          <w:szCs w:val="26"/>
        </w:rPr>
        <w:t>hoản 1 Điều 52 Bộ luật Hình sự.</w:t>
      </w:r>
    </w:p>
    <w:p w14:paraId="55E46F2A" w14:textId="78BDE8F1" w:rsidR="0011358F" w:rsidRPr="0011358F" w:rsidRDefault="0011358F" w:rsidP="00CA0573">
      <w:pPr>
        <w:spacing w:line="264" w:lineRule="auto"/>
        <w:rPr>
          <w:sz w:val="26"/>
          <w:szCs w:val="26"/>
        </w:rPr>
      </w:pPr>
      <w:r w:rsidRPr="0011358F">
        <w:rPr>
          <w:sz w:val="26"/>
          <w:szCs w:val="26"/>
        </w:rPr>
        <w:t xml:space="preserve">Ví dụ: bị cáo tham ô tài sản 3 lần; lần 1 tham ô 500.000.000 đồng; lần 2 tham ô 300.000.000 đồng; lần 3 tham ô 200.000.000 đồng. Đối với trường hợp này, theo quy định tại Điều 353 Bộ luật Hình sự thì hành vi phạm tội của bị cáo cầu thành định khung tăng nặng </w:t>
      </w:r>
      <w:r w:rsidR="00CA0573" w:rsidRPr="00CA0573">
        <w:rPr>
          <w:i/>
          <w:sz w:val="26"/>
          <w:szCs w:val="26"/>
        </w:rPr>
        <w:t>“</w:t>
      </w:r>
      <w:r w:rsidRPr="00CA0573">
        <w:rPr>
          <w:i/>
          <w:sz w:val="26"/>
          <w:szCs w:val="26"/>
        </w:rPr>
        <w:t>Phạm tội 02 lần trở lên</w:t>
      </w:r>
      <w:r w:rsidR="00CA0573" w:rsidRPr="00CA0573">
        <w:rPr>
          <w:i/>
          <w:sz w:val="26"/>
          <w:szCs w:val="26"/>
        </w:rPr>
        <w:t>”</w:t>
      </w:r>
      <w:r w:rsidRPr="0011358F">
        <w:rPr>
          <w:sz w:val="26"/>
          <w:szCs w:val="26"/>
        </w:rPr>
        <w:t xml:space="preserve"> (điểm c khoản 2 Điều 353); đồng thời cầu thành định khung tăng nặng </w:t>
      </w:r>
      <w:r w:rsidR="00CA0573" w:rsidRPr="00CA0573">
        <w:rPr>
          <w:i/>
          <w:sz w:val="26"/>
          <w:szCs w:val="26"/>
        </w:rPr>
        <w:t>“</w:t>
      </w:r>
      <w:r w:rsidRPr="00CA0573">
        <w:rPr>
          <w:i/>
          <w:sz w:val="26"/>
          <w:szCs w:val="26"/>
        </w:rPr>
        <w:t>Chiếm đoạt tài sản trị giả 1.000.000.000 đồng trở lên</w:t>
      </w:r>
      <w:r w:rsidR="00CA0573" w:rsidRPr="00CA0573">
        <w:rPr>
          <w:i/>
          <w:sz w:val="26"/>
          <w:szCs w:val="26"/>
        </w:rPr>
        <w:t>”</w:t>
      </w:r>
      <w:r w:rsidRPr="0011358F">
        <w:rPr>
          <w:sz w:val="26"/>
          <w:szCs w:val="26"/>
        </w:rPr>
        <w:t xml:space="preserve"> (điểm a khoản 4 Điều 353). Theo hướng dẫn tại điểm a khoản 2 Điều 5 Nghị quyết 04/2025/NQ-HĐTP nêu trên thì trường hợp này, bị cáo bị truy cứu trách nhiệm hình sự theo quy định tại điểm a khoản 4 Điều 353 và không bị áp dụng tình tiết tăng nặng </w:t>
      </w:r>
      <w:r w:rsidR="00CA0573" w:rsidRPr="00CA0573">
        <w:rPr>
          <w:i/>
          <w:sz w:val="26"/>
          <w:szCs w:val="26"/>
        </w:rPr>
        <w:t>“</w:t>
      </w:r>
      <w:r w:rsidRPr="00CA0573">
        <w:rPr>
          <w:i/>
          <w:sz w:val="26"/>
          <w:szCs w:val="26"/>
        </w:rPr>
        <w:t>Phạm tội 02 lần trở lên</w:t>
      </w:r>
      <w:r w:rsidR="00CA0573" w:rsidRPr="00CA0573">
        <w:rPr>
          <w:i/>
          <w:sz w:val="26"/>
          <w:szCs w:val="26"/>
        </w:rPr>
        <w:t>”</w:t>
      </w:r>
      <w:r w:rsidRPr="0011358F">
        <w:rPr>
          <w:sz w:val="26"/>
          <w:szCs w:val="26"/>
        </w:rPr>
        <w:t xml:space="preserve"> quy định tại điểm g khoản</w:t>
      </w:r>
      <w:r w:rsidR="00CA0573">
        <w:rPr>
          <w:sz w:val="26"/>
          <w:szCs w:val="26"/>
        </w:rPr>
        <w:t xml:space="preserve"> 1 Điều 52 của Bộ luật Hình sự.</w:t>
      </w:r>
    </w:p>
    <w:p w14:paraId="7D0790B7" w14:textId="57D63378" w:rsidR="00E80448" w:rsidRDefault="0011358F" w:rsidP="00975AFF">
      <w:pPr>
        <w:spacing w:line="264" w:lineRule="auto"/>
        <w:rPr>
          <w:sz w:val="26"/>
          <w:szCs w:val="26"/>
        </w:rPr>
      </w:pPr>
      <w:r w:rsidRPr="0011358F">
        <w:rPr>
          <w:sz w:val="26"/>
          <w:szCs w:val="26"/>
        </w:rPr>
        <w:t xml:space="preserve">Qua công tác xét xử phúc thẩm thời gian qua, Tòa phúc thẩm Tòa án nhân dân tối cao tại Hà Nội nhận thấy một số Tòa án vẫn áp dụng tình tiết tăng nặng trách nhiệm hình sự </w:t>
      </w:r>
      <w:r w:rsidR="00975AFF" w:rsidRPr="00CA0573">
        <w:rPr>
          <w:i/>
          <w:sz w:val="26"/>
          <w:szCs w:val="26"/>
        </w:rPr>
        <w:t>“Phạm tội 02 lần trở lên”</w:t>
      </w:r>
      <w:r w:rsidR="00975AFF" w:rsidRPr="0011358F">
        <w:rPr>
          <w:sz w:val="26"/>
          <w:szCs w:val="26"/>
        </w:rPr>
        <w:t xml:space="preserve"> </w:t>
      </w:r>
      <w:r w:rsidRPr="0011358F">
        <w:rPr>
          <w:sz w:val="26"/>
          <w:szCs w:val="26"/>
        </w:rPr>
        <w:t xml:space="preserve">(điểm g khoản 1 Điều 52) đối với trường hợp quy định về tội phạm có cấu thành định khung </w:t>
      </w:r>
      <w:r w:rsidR="00975AFF" w:rsidRPr="00CA0573">
        <w:rPr>
          <w:i/>
          <w:sz w:val="26"/>
          <w:szCs w:val="26"/>
        </w:rPr>
        <w:t>“Phạm tội 02 lần trở lên”</w:t>
      </w:r>
      <w:r w:rsidR="00975AFF" w:rsidRPr="0011358F">
        <w:rPr>
          <w:sz w:val="26"/>
          <w:szCs w:val="26"/>
        </w:rPr>
        <w:t xml:space="preserve"> </w:t>
      </w:r>
      <w:r w:rsidRPr="0011358F">
        <w:rPr>
          <w:sz w:val="26"/>
          <w:szCs w:val="26"/>
        </w:rPr>
        <w:t xml:space="preserve">là không đúng với hướng dẫn của Nghị quyết 04/2025/NQ-HĐTP. Tòa phúc thẩm Tòa án nhân dân tối cao </w:t>
      </w:r>
      <w:r w:rsidRPr="0011358F">
        <w:rPr>
          <w:sz w:val="26"/>
          <w:szCs w:val="26"/>
        </w:rPr>
        <w:lastRenderedPageBreak/>
        <w:t>tại Hà Nội đề nghị trong phạm vi chức năng, nhiệm vụ, quyền hạn của mình, các đồng chí Chánh án Tòa án nhân dân tỉnh, thành phố khu vực phía Bắc quán triệt nội dung hướng dẫn của Nghị quyết 04/2025/NQ-HĐTP đến các Thẩm phán, Hội thẩm để bảo đảm áp dụng thống nhất hướng dẫn của Hội đồng Thẩm phán Tòa án</w:t>
      </w:r>
      <w:r w:rsidR="00975AFF">
        <w:rPr>
          <w:sz w:val="26"/>
          <w:szCs w:val="26"/>
        </w:rPr>
        <w:t xml:space="preserve"> nhân dân tối cao trong xét xử</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27"/>
      </w:tblGrid>
      <w:tr w:rsidR="00E80448" w14:paraId="79D4F96B" w14:textId="77777777" w:rsidTr="00B86625">
        <w:tc>
          <w:tcPr>
            <w:tcW w:w="4678" w:type="dxa"/>
          </w:tcPr>
          <w:p w14:paraId="2647AB4D" w14:textId="68907BB6" w:rsidR="00E80448" w:rsidRPr="00B7434F" w:rsidRDefault="00E80448" w:rsidP="00781A50">
            <w:pPr>
              <w:ind w:firstLine="0"/>
              <w:rPr>
                <w:b/>
                <w:i/>
                <w:sz w:val="22"/>
                <w:szCs w:val="22"/>
              </w:rPr>
            </w:pPr>
            <w:r w:rsidRPr="00B7434F">
              <w:rPr>
                <w:b/>
                <w:i/>
                <w:sz w:val="22"/>
                <w:szCs w:val="22"/>
              </w:rPr>
              <w:t>Nơi nhận:</w:t>
            </w:r>
          </w:p>
          <w:p w14:paraId="6D1AC50B" w14:textId="77777777" w:rsidR="00DA6E62" w:rsidRPr="00DA6E62" w:rsidRDefault="00DA6E62" w:rsidP="00DA6E62">
            <w:pPr>
              <w:ind w:firstLine="0"/>
              <w:rPr>
                <w:sz w:val="20"/>
                <w:szCs w:val="20"/>
              </w:rPr>
            </w:pPr>
            <w:r w:rsidRPr="00DA6E62">
              <w:rPr>
                <w:sz w:val="20"/>
                <w:szCs w:val="20"/>
              </w:rPr>
              <w:t>- Như kính gửi;</w:t>
            </w:r>
          </w:p>
          <w:p w14:paraId="37061EB3" w14:textId="77777777" w:rsidR="00DA6E62" w:rsidRPr="00DA6E62" w:rsidRDefault="00DA6E62" w:rsidP="00DA6E62">
            <w:pPr>
              <w:ind w:firstLine="0"/>
              <w:rPr>
                <w:sz w:val="20"/>
                <w:szCs w:val="20"/>
              </w:rPr>
            </w:pPr>
            <w:r w:rsidRPr="00DA6E62">
              <w:rPr>
                <w:sz w:val="20"/>
                <w:szCs w:val="20"/>
              </w:rPr>
              <w:t>- Chánh án TANDTC (để báo cáo);</w:t>
            </w:r>
          </w:p>
          <w:p w14:paraId="20DCEE72" w14:textId="503D7207" w:rsidR="00975AFF" w:rsidRDefault="00975AFF" w:rsidP="00975AFF">
            <w:pPr>
              <w:ind w:firstLine="0"/>
              <w:rPr>
                <w:sz w:val="20"/>
                <w:szCs w:val="20"/>
              </w:rPr>
            </w:pPr>
            <w:r w:rsidRPr="00DA6E62">
              <w:rPr>
                <w:sz w:val="20"/>
                <w:szCs w:val="20"/>
              </w:rPr>
              <w:t xml:space="preserve">- Chánh </w:t>
            </w:r>
            <w:r w:rsidR="00756D8D">
              <w:rPr>
                <w:sz w:val="20"/>
                <w:szCs w:val="20"/>
              </w:rPr>
              <w:t xml:space="preserve">Tòa Tòa </w:t>
            </w:r>
            <w:r>
              <w:rPr>
                <w:sz w:val="20"/>
                <w:szCs w:val="20"/>
              </w:rPr>
              <w:t>PT1</w:t>
            </w:r>
            <w:r w:rsidRPr="00DA6E62">
              <w:rPr>
                <w:sz w:val="20"/>
                <w:szCs w:val="20"/>
              </w:rPr>
              <w:t xml:space="preserve"> (để báo cáo);</w:t>
            </w:r>
          </w:p>
          <w:p w14:paraId="7A1F9108" w14:textId="77777777" w:rsidR="00756D8D" w:rsidRDefault="00756D8D" w:rsidP="00975AFF">
            <w:pPr>
              <w:ind w:firstLine="0"/>
              <w:rPr>
                <w:sz w:val="20"/>
                <w:szCs w:val="20"/>
              </w:rPr>
            </w:pPr>
            <w:r>
              <w:rPr>
                <w:sz w:val="20"/>
                <w:szCs w:val="20"/>
              </w:rPr>
              <w:t>- VCT&amp;KSXXPT tại HN;</w:t>
            </w:r>
          </w:p>
          <w:p w14:paraId="280BD253" w14:textId="09E6F2DA" w:rsidR="00756D8D" w:rsidRPr="00DA6E62" w:rsidRDefault="00756D8D" w:rsidP="00975AFF">
            <w:pPr>
              <w:ind w:firstLine="0"/>
              <w:rPr>
                <w:sz w:val="20"/>
                <w:szCs w:val="20"/>
              </w:rPr>
            </w:pPr>
            <w:r>
              <w:rPr>
                <w:sz w:val="20"/>
                <w:szCs w:val="20"/>
              </w:rPr>
              <w:t>- Vụ pháp chế và QLKH;</w:t>
            </w:r>
          </w:p>
          <w:p w14:paraId="00D49292" w14:textId="1517BF83" w:rsidR="00DA6E62" w:rsidRPr="00DA6E62" w:rsidRDefault="00DA6E62" w:rsidP="00DA6E62">
            <w:pPr>
              <w:ind w:firstLine="0"/>
              <w:rPr>
                <w:sz w:val="20"/>
                <w:szCs w:val="20"/>
              </w:rPr>
            </w:pPr>
            <w:r w:rsidRPr="00DA6E62">
              <w:rPr>
                <w:sz w:val="20"/>
                <w:szCs w:val="20"/>
              </w:rPr>
              <w:t xml:space="preserve">- Các </w:t>
            </w:r>
            <w:r w:rsidR="00756D8D">
              <w:rPr>
                <w:sz w:val="20"/>
                <w:szCs w:val="20"/>
              </w:rPr>
              <w:t>tổ nghiệp vụ của Tòa phúc thẩm tại HN;</w:t>
            </w:r>
          </w:p>
          <w:p w14:paraId="6AA5C468" w14:textId="38A0D828" w:rsidR="00E80448" w:rsidRDefault="00756D8D" w:rsidP="00756D8D">
            <w:pPr>
              <w:ind w:firstLine="0"/>
              <w:rPr>
                <w:sz w:val="26"/>
                <w:szCs w:val="26"/>
              </w:rPr>
            </w:pPr>
            <w:r>
              <w:rPr>
                <w:sz w:val="20"/>
                <w:szCs w:val="20"/>
              </w:rPr>
              <w:t>- Lưu</w:t>
            </w:r>
            <w:r w:rsidR="00DA6E62" w:rsidRPr="00DA6E62">
              <w:rPr>
                <w:sz w:val="20"/>
                <w:szCs w:val="20"/>
              </w:rPr>
              <w:t xml:space="preserve"> VT</w:t>
            </w:r>
            <w:r w:rsidR="00E80448" w:rsidRPr="00B7434F">
              <w:rPr>
                <w:sz w:val="20"/>
                <w:szCs w:val="20"/>
              </w:rPr>
              <w:t>.</w:t>
            </w:r>
          </w:p>
        </w:tc>
        <w:tc>
          <w:tcPr>
            <w:tcW w:w="5227" w:type="dxa"/>
          </w:tcPr>
          <w:p w14:paraId="412E016D" w14:textId="4AA07334" w:rsidR="00104FD1" w:rsidRPr="00104FD1" w:rsidRDefault="00104FD1" w:rsidP="00104FD1">
            <w:pPr>
              <w:ind w:firstLine="0"/>
              <w:jc w:val="center"/>
              <w:rPr>
                <w:b/>
                <w:sz w:val="26"/>
                <w:szCs w:val="26"/>
              </w:rPr>
            </w:pPr>
            <w:r w:rsidRPr="00104FD1">
              <w:rPr>
                <w:b/>
                <w:sz w:val="26"/>
                <w:szCs w:val="26"/>
              </w:rPr>
              <w:t xml:space="preserve">KT. CHÁNH </w:t>
            </w:r>
            <w:r w:rsidR="000F577B">
              <w:rPr>
                <w:b/>
                <w:sz w:val="26"/>
                <w:szCs w:val="26"/>
              </w:rPr>
              <w:t>TÒA</w:t>
            </w:r>
          </w:p>
          <w:p w14:paraId="32C7E3FE" w14:textId="3215B9D0" w:rsidR="00D3773A" w:rsidRDefault="00104FD1" w:rsidP="00104FD1">
            <w:pPr>
              <w:ind w:firstLine="0"/>
              <w:jc w:val="center"/>
              <w:rPr>
                <w:sz w:val="26"/>
                <w:szCs w:val="26"/>
              </w:rPr>
            </w:pPr>
            <w:r w:rsidRPr="00104FD1">
              <w:rPr>
                <w:b/>
                <w:sz w:val="26"/>
                <w:szCs w:val="26"/>
              </w:rPr>
              <w:t xml:space="preserve">PHÓ CHÁNH </w:t>
            </w:r>
            <w:r w:rsidR="000F577B">
              <w:rPr>
                <w:b/>
                <w:sz w:val="26"/>
                <w:szCs w:val="26"/>
              </w:rPr>
              <w:t>TÒA</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60F1E4E5" w:rsidR="00E80448" w:rsidRDefault="000F577B" w:rsidP="007C07BB">
            <w:pPr>
              <w:ind w:firstLine="0"/>
              <w:jc w:val="center"/>
              <w:rPr>
                <w:sz w:val="26"/>
                <w:szCs w:val="26"/>
              </w:rPr>
            </w:pPr>
            <w:r>
              <w:rPr>
                <w:b/>
                <w:sz w:val="26"/>
                <w:szCs w:val="26"/>
              </w:rPr>
              <w:t>Chu Thành Quang</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A6E62">
      <w:headerReference w:type="default" r:id="rId9"/>
      <w:footerReference w:type="default" r:id="rId10"/>
      <w:footerReference w:type="first" r:id="rId11"/>
      <w:pgSz w:w="11900" w:h="16840"/>
      <w:pgMar w:top="1276"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AA0DB" w14:textId="77777777" w:rsidR="00AC168A" w:rsidRDefault="00AC168A">
      <w:pPr>
        <w:spacing w:line="240" w:lineRule="auto"/>
      </w:pPr>
      <w:r>
        <w:separator/>
      </w:r>
    </w:p>
  </w:endnote>
  <w:endnote w:type="continuationSeparator" w:id="0">
    <w:p w14:paraId="55F6EE79" w14:textId="77777777" w:rsidR="00AC168A" w:rsidRDefault="00AC16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624C9" w14:textId="77777777" w:rsidR="00AC168A" w:rsidRDefault="00AC168A">
      <w:pPr>
        <w:spacing w:line="240" w:lineRule="auto"/>
      </w:pPr>
      <w:r>
        <w:separator/>
      </w:r>
    </w:p>
  </w:footnote>
  <w:footnote w:type="continuationSeparator" w:id="0">
    <w:p w14:paraId="38048F68" w14:textId="77777777" w:rsidR="00AC168A" w:rsidRDefault="00AC168A">
      <w:pPr>
        <w:spacing w:line="240" w:lineRule="auto"/>
      </w:pPr>
      <w:r>
        <w:continuationSeparator/>
      </w:r>
    </w:p>
  </w:footnote>
  <w:footnote w:id="1">
    <w:p w14:paraId="31DF0C3F" w14:textId="7E495B37" w:rsidR="00366BAF" w:rsidRDefault="00366BAF" w:rsidP="00975AFF">
      <w:pPr>
        <w:pStyle w:val="FootnoteText"/>
        <w:jc w:val="both"/>
      </w:pPr>
      <w:r>
        <w:rPr>
          <w:rStyle w:val="FootnoteReference"/>
        </w:rPr>
        <w:footnoteRef/>
      </w:r>
      <w:r>
        <w:t xml:space="preserve"> </w:t>
      </w:r>
      <w:r w:rsidR="00975AFF" w:rsidRPr="00975AFF">
        <w:t>Lưu ý: Thông báo đến Tòa án nhân dân các tỉnh phía Bắc gồm: thành phố Hà Nội, thành phố Hải Phòng; các tỉnh: Bắc Ninh, Cao Bằng, Điện Biên, Hà Tĩnh, Hưng Yên, Lai Châu, Lạng Sơn, Lào Cai, Nghệ An, Ninh Bình, Phú Thọ, Quảng Ninh, Sơn La, Thái Nguyên, Thanh Hóa và Tuyên Quang</w:t>
      </w:r>
      <w:r w:rsidR="00975AF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088B6A0D"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AB24D6">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214A"/>
    <w:rsid w:val="000E45A3"/>
    <w:rsid w:val="000E6C6B"/>
    <w:rsid w:val="000E77FC"/>
    <w:rsid w:val="000E7D27"/>
    <w:rsid w:val="000F0437"/>
    <w:rsid w:val="000F07A4"/>
    <w:rsid w:val="000F350F"/>
    <w:rsid w:val="000F4272"/>
    <w:rsid w:val="000F577B"/>
    <w:rsid w:val="000F5B9C"/>
    <w:rsid w:val="000F5C15"/>
    <w:rsid w:val="000F6BE5"/>
    <w:rsid w:val="000F6F9B"/>
    <w:rsid w:val="00102886"/>
    <w:rsid w:val="00102C7B"/>
    <w:rsid w:val="00103A29"/>
    <w:rsid w:val="00104FD1"/>
    <w:rsid w:val="00105C06"/>
    <w:rsid w:val="001062B8"/>
    <w:rsid w:val="001074FE"/>
    <w:rsid w:val="00110CD2"/>
    <w:rsid w:val="0011358F"/>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6BAF"/>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A92"/>
    <w:rsid w:val="004F3B6F"/>
    <w:rsid w:val="004F5141"/>
    <w:rsid w:val="004F63FC"/>
    <w:rsid w:val="00500BBF"/>
    <w:rsid w:val="00501C4A"/>
    <w:rsid w:val="00503AD4"/>
    <w:rsid w:val="0050473A"/>
    <w:rsid w:val="005064DB"/>
    <w:rsid w:val="00506A85"/>
    <w:rsid w:val="00510D2B"/>
    <w:rsid w:val="00510D90"/>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05160"/>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6D8D"/>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7BB"/>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8D6"/>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75AFF"/>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24D6"/>
    <w:rsid w:val="00AB406C"/>
    <w:rsid w:val="00AB4859"/>
    <w:rsid w:val="00AB4D7C"/>
    <w:rsid w:val="00AB4F97"/>
    <w:rsid w:val="00AB592E"/>
    <w:rsid w:val="00AB616B"/>
    <w:rsid w:val="00AB66D8"/>
    <w:rsid w:val="00AB700D"/>
    <w:rsid w:val="00AC0A27"/>
    <w:rsid w:val="00AC168A"/>
    <w:rsid w:val="00AC1F39"/>
    <w:rsid w:val="00AC1F3D"/>
    <w:rsid w:val="00AC4BC5"/>
    <w:rsid w:val="00AC54CD"/>
    <w:rsid w:val="00AC7623"/>
    <w:rsid w:val="00AD1734"/>
    <w:rsid w:val="00AD173D"/>
    <w:rsid w:val="00AD18AC"/>
    <w:rsid w:val="00AD2E49"/>
    <w:rsid w:val="00AD44B8"/>
    <w:rsid w:val="00AD46BC"/>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625"/>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0573"/>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A6E62"/>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6A016C-595D-4E3C-AA54-F26CF7508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2026-07-15T06:11:00Z</dcterms:created>
  <dcterms:modified xsi:type="dcterms:W3CDTF">2026-07-15T08:17:00Z</dcterms:modified>
</cp:coreProperties>
</file>