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837" w:rsidRDefault="00DD7837">
      <w:pPr>
        <w:widowControl w:val="0"/>
        <w:pBdr>
          <w:top w:val="nil"/>
          <w:left w:val="nil"/>
          <w:bottom w:val="nil"/>
          <w:right w:val="nil"/>
          <w:between w:val="nil"/>
        </w:pBdr>
        <w:spacing w:line="276" w:lineRule="auto"/>
        <w:ind w:firstLine="0"/>
        <w:jc w:val="left"/>
        <w:rPr>
          <w:rFonts w:ascii="Arial" w:eastAsia="Arial" w:hAnsi="Arial" w:cs="Arial"/>
          <w:color w:val="000000"/>
          <w:sz w:val="22"/>
          <w:szCs w:val="22"/>
        </w:rPr>
      </w:pPr>
    </w:p>
    <w:tbl>
      <w:tblPr>
        <w:tblStyle w:val="a"/>
        <w:tblW w:w="9356" w:type="dxa"/>
        <w:tblInd w:w="-289" w:type="dxa"/>
        <w:tblBorders>
          <w:top w:val="nil"/>
          <w:left w:val="nil"/>
          <w:bottom w:val="nil"/>
          <w:right w:val="nil"/>
          <w:insideH w:val="nil"/>
          <w:insideV w:val="nil"/>
        </w:tblBorders>
        <w:tblLayout w:type="fixed"/>
        <w:tblLook w:val="0400" w:firstRow="0" w:lastRow="0" w:firstColumn="0" w:lastColumn="0" w:noHBand="0" w:noVBand="1"/>
      </w:tblPr>
      <w:tblGrid>
        <w:gridCol w:w="3828"/>
        <w:gridCol w:w="5528"/>
      </w:tblGrid>
      <w:tr w:rsidR="00DD7837">
        <w:tc>
          <w:tcPr>
            <w:tcW w:w="3828" w:type="dxa"/>
          </w:tcPr>
          <w:p w:rsidR="00DD7837" w:rsidRDefault="000E06D6">
            <w:pPr>
              <w:spacing w:line="264" w:lineRule="auto"/>
              <w:ind w:left="-100" w:firstLine="0"/>
              <w:jc w:val="center"/>
              <w:rPr>
                <w:b/>
                <w:bCs/>
                <w:sz w:val="24"/>
                <w:szCs w:val="24"/>
              </w:rPr>
            </w:pPr>
            <w:r>
              <w:rPr>
                <w:b/>
                <w:bCs/>
                <w:sz w:val="24"/>
                <w:szCs w:val="24"/>
              </w:rPr>
              <w:t>TÒA ÁN NHÂN DÂN TỐI CAO</w:t>
            </w:r>
          </w:p>
          <w:p w:rsidR="00DD7837" w:rsidRDefault="000E06D6">
            <w:pPr>
              <w:spacing w:line="264" w:lineRule="auto"/>
              <w:ind w:firstLine="0"/>
              <w:jc w:val="center"/>
              <w:rPr>
                <w:sz w:val="26"/>
                <w:szCs w:val="26"/>
              </w:rPr>
            </w:pPr>
            <w:r>
              <w:rPr>
                <w:sz w:val="26"/>
                <w:szCs w:val="26"/>
              </w:rPr>
              <w:t>-------</w:t>
            </w:r>
          </w:p>
          <w:p w:rsidR="00DD7837" w:rsidRDefault="000E06D6">
            <w:pPr>
              <w:spacing w:line="264" w:lineRule="auto"/>
              <w:ind w:firstLine="0"/>
              <w:jc w:val="center"/>
              <w:rPr>
                <w:sz w:val="26"/>
                <w:szCs w:val="26"/>
              </w:rPr>
            </w:pPr>
            <w:r>
              <w:rPr>
                <w:sz w:val="26"/>
                <w:szCs w:val="26"/>
              </w:rPr>
              <w:t>Số: 105/2003/KHXX</w:t>
            </w:r>
          </w:p>
        </w:tc>
        <w:tc>
          <w:tcPr>
            <w:tcW w:w="5528" w:type="dxa"/>
          </w:tcPr>
          <w:p w:rsidR="00DD7837" w:rsidRDefault="000E06D6">
            <w:pPr>
              <w:spacing w:line="264" w:lineRule="auto"/>
              <w:ind w:firstLine="0"/>
              <w:jc w:val="center"/>
              <w:rPr>
                <w:b/>
                <w:bCs/>
                <w:sz w:val="24"/>
                <w:szCs w:val="24"/>
              </w:rPr>
            </w:pPr>
            <w:r>
              <w:rPr>
                <w:b/>
                <w:bCs/>
                <w:sz w:val="24"/>
                <w:szCs w:val="24"/>
              </w:rPr>
              <w:t>CỘNG HÒA XÃ HỘI CHỦ NGHĨA VIỆT NAM</w:t>
            </w:r>
          </w:p>
          <w:p w:rsidR="00DD7837" w:rsidRDefault="000E06D6">
            <w:pPr>
              <w:spacing w:line="264" w:lineRule="auto"/>
              <w:ind w:firstLine="0"/>
              <w:jc w:val="center"/>
              <w:rPr>
                <w:b/>
                <w:bCs/>
                <w:sz w:val="26"/>
                <w:szCs w:val="26"/>
              </w:rPr>
            </w:pPr>
            <w:r>
              <w:rPr>
                <w:b/>
                <w:bCs/>
                <w:sz w:val="26"/>
                <w:szCs w:val="26"/>
              </w:rPr>
              <w:t>Độc lập - Tự do - Hạnh phúc</w:t>
            </w:r>
          </w:p>
          <w:p w:rsidR="00DD7837" w:rsidRDefault="000E06D6">
            <w:pPr>
              <w:spacing w:line="264" w:lineRule="auto"/>
              <w:ind w:firstLine="0"/>
              <w:jc w:val="center"/>
              <w:rPr>
                <w:sz w:val="26"/>
                <w:szCs w:val="26"/>
              </w:rPr>
            </w:pPr>
            <w:r>
              <w:rPr>
                <w:sz w:val="26"/>
                <w:szCs w:val="26"/>
              </w:rPr>
              <w:t>---------------</w:t>
            </w:r>
          </w:p>
          <w:p w:rsidR="00DD7837" w:rsidRDefault="000E06D6">
            <w:pPr>
              <w:spacing w:line="264" w:lineRule="auto"/>
              <w:ind w:firstLine="0"/>
              <w:jc w:val="right"/>
              <w:rPr>
                <w:i/>
                <w:iCs/>
                <w:sz w:val="26"/>
                <w:szCs w:val="26"/>
              </w:rPr>
            </w:pPr>
            <w:r>
              <w:rPr>
                <w:i/>
                <w:iCs/>
                <w:sz w:val="26"/>
                <w:szCs w:val="26"/>
              </w:rPr>
              <w:t>Hà Nội, ngày 18 tháng 8 năm 2003</w:t>
            </w:r>
          </w:p>
        </w:tc>
      </w:tr>
    </w:tbl>
    <w:p w:rsidR="00DD7837" w:rsidRDefault="00DD7837">
      <w:pPr>
        <w:spacing w:line="264" w:lineRule="auto"/>
        <w:ind w:firstLine="0"/>
        <w:rPr>
          <w:sz w:val="26"/>
          <w:szCs w:val="26"/>
        </w:rPr>
      </w:pPr>
    </w:p>
    <w:p w:rsidR="00DD7837" w:rsidRDefault="000E06D6">
      <w:pPr>
        <w:spacing w:line="312" w:lineRule="auto"/>
        <w:jc w:val="center"/>
        <w:rPr>
          <w:b/>
          <w:bCs/>
          <w:sz w:val="26"/>
          <w:szCs w:val="26"/>
        </w:rPr>
      </w:pPr>
      <w:r>
        <w:rPr>
          <w:b/>
          <w:bCs/>
          <w:sz w:val="26"/>
          <w:szCs w:val="26"/>
        </w:rPr>
        <w:t>CÔNG VĂN</w:t>
      </w:r>
    </w:p>
    <w:p w:rsidR="00DD7837" w:rsidRDefault="000E06D6">
      <w:pPr>
        <w:spacing w:line="312" w:lineRule="auto"/>
        <w:ind w:firstLine="0"/>
        <w:jc w:val="center"/>
        <w:rPr>
          <w:sz w:val="26"/>
          <w:szCs w:val="26"/>
        </w:rPr>
      </w:pPr>
      <w:r>
        <w:rPr>
          <w:sz w:val="26"/>
          <w:szCs w:val="26"/>
        </w:rPr>
        <w:t>CỦA TOÀ ÁN NHÂN DÂN TỐI CAO SỐ 105/2003/KHXX NGÀY 18 THÁNG 8 NĂM 2003 VỀ VIỆC ÁP DỤNG ĐIỀU 248 BỘ LUẬT HÌNH SỰ</w:t>
      </w:r>
    </w:p>
    <w:p w:rsidR="00DD7837" w:rsidRDefault="000E06D6">
      <w:pPr>
        <w:spacing w:before="120" w:after="120"/>
        <w:jc w:val="center"/>
        <w:rPr>
          <w:sz w:val="26"/>
          <w:szCs w:val="26"/>
        </w:rPr>
      </w:pPr>
      <w:r>
        <w:rPr>
          <w:b/>
          <w:bCs/>
          <w:sz w:val="26"/>
          <w:szCs w:val="26"/>
        </w:rPr>
        <w:t>Kính gửi:</w:t>
      </w:r>
      <w:r>
        <w:rPr>
          <w:sz w:val="26"/>
          <w:szCs w:val="26"/>
        </w:rPr>
        <w:t xml:space="preserve"> Toà án nhân dân huyện A Lưới, tỉnh Thừa Thiên Huế</w:t>
      </w:r>
    </w:p>
    <w:p w:rsidR="00DD7837" w:rsidRDefault="000E06D6">
      <w:pPr>
        <w:spacing w:line="300" w:lineRule="auto"/>
        <w:rPr>
          <w:sz w:val="26"/>
          <w:szCs w:val="26"/>
        </w:rPr>
      </w:pPr>
      <w:r>
        <w:rPr>
          <w:sz w:val="26"/>
          <w:szCs w:val="26"/>
        </w:rPr>
        <w:t>Sau khi nghiên cứu Công văn số 89/CV-TA ngày 01/7/2003 của quý Toà, Viện khoa học xét</w:t>
      </w:r>
      <w:r>
        <w:rPr>
          <w:sz w:val="26"/>
          <w:szCs w:val="26"/>
        </w:rPr>
        <w:t xml:space="preserve"> xử Toà án nhân dân tối cao có ý kiến như sau:</w:t>
      </w:r>
    </w:p>
    <w:p w:rsidR="00DD7837" w:rsidRDefault="000E06D6">
      <w:pPr>
        <w:spacing w:line="300" w:lineRule="auto"/>
        <w:rPr>
          <w:sz w:val="26"/>
          <w:szCs w:val="26"/>
        </w:rPr>
      </w:pPr>
      <w:bookmarkStart w:id="0" w:name="_heading=h.1hxo7yyw2eoh" w:colFirst="0" w:colLast="0"/>
      <w:bookmarkEnd w:id="0"/>
      <w:r>
        <w:rPr>
          <w:sz w:val="26"/>
          <w:szCs w:val="26"/>
        </w:rPr>
        <w:t>Cá độ bóng đá thực chất cũng là một hình thức đánh bạc. Đặc thù của tội đánh bạc nói chung là người đánh bạc không thể thực hiện hành vi đánh bạc một mình mà mỗi lần đánh bạc phải có nhiều người (ít nhất từ ha</w:t>
      </w:r>
      <w:r>
        <w:rPr>
          <w:sz w:val="26"/>
          <w:szCs w:val="26"/>
        </w:rPr>
        <w:t>i người trở lên) cùng tham gia đánh bạc với nhau hoặc đánh bạc với nhiều người khác nhau, cho nên đối với tội đánh bạc không thể lấy tổng số tiền, giá trị hiện vật dùng để đánh bạc của tất cả các lần đánh bạc làm định mức để truy cứu trách nhiệm hình sự ng</w:t>
      </w:r>
      <w:r>
        <w:rPr>
          <w:sz w:val="26"/>
          <w:szCs w:val="26"/>
        </w:rPr>
        <w:t>ười đánh bạc, mà phải căn cứ vào từng lần đánh bạc đề xem xét; cụ thể là:</w:t>
      </w:r>
    </w:p>
    <w:p w:rsidR="00DD7837" w:rsidRDefault="000E06D6">
      <w:pPr>
        <w:spacing w:line="300" w:lineRule="auto"/>
        <w:rPr>
          <w:sz w:val="26"/>
          <w:szCs w:val="26"/>
        </w:rPr>
      </w:pPr>
      <w:r>
        <w:rPr>
          <w:sz w:val="26"/>
          <w:szCs w:val="26"/>
        </w:rPr>
        <w:t>a. Nếu tổng số tiền, giá trị hiện vật dùng để đánh bạc của từng lần đánh bạc đều dưới mức tối thiểu để truy cứu trách nhiệm hình sự (có nghĩa là dưới một triệu đồng theo hướng dẫn tạ</w:t>
      </w:r>
      <w:r>
        <w:rPr>
          <w:sz w:val="26"/>
          <w:szCs w:val="26"/>
        </w:rPr>
        <w:t>i điểm 6.3 mục 6 phần I Nghị quyết số 02/2003/NQ-HĐTP ngày 17/4/2003 của Hội đồng Thẩm phán Toà án nhân dân tối cao hướng dẫn áp dụng một số quy định của Bộ luật Hình sự) và không thuộc một trong các trường hợp khác để truy cứu trách nhiệm hình sự (đã bị x</w:t>
      </w:r>
      <w:r>
        <w:rPr>
          <w:sz w:val="26"/>
          <w:szCs w:val="26"/>
        </w:rPr>
        <w:t>ử phạt hành chính về hành vi quy định tại Điều 248 và Điều 249 Bộ luật Hình sự hoặc đã bị kết án về một trong các tội này, chưa được xoá án tích mà còn vi phạm) thì người đánh bạc không phải chịu trách nhiệm hình sự về tội đánh bạc.</w:t>
      </w:r>
    </w:p>
    <w:p w:rsidR="00DD7837" w:rsidRDefault="000E06D6">
      <w:pPr>
        <w:spacing w:line="300" w:lineRule="auto"/>
        <w:rPr>
          <w:sz w:val="26"/>
          <w:szCs w:val="26"/>
        </w:rPr>
      </w:pPr>
      <w:r>
        <w:rPr>
          <w:sz w:val="26"/>
          <w:szCs w:val="26"/>
        </w:rPr>
        <w:t>b. Nếu tổng số tiền, gi</w:t>
      </w:r>
      <w:r>
        <w:rPr>
          <w:sz w:val="26"/>
          <w:szCs w:val="26"/>
        </w:rPr>
        <w:t>á trị hiện vật dùng để đánh bạc của lần đánh bạc nào mà bằng hoặc trên mức tối thiểu để truy cứu trách nhiệm hình sự (có nghĩa là từ một triệu đồng trở lên theo hướng dẫn tại Nghị quyết số 02 nêu trên) thì người đánh bạc phải bị truy cứu trách nhiệm hình s</w:t>
      </w:r>
      <w:r>
        <w:rPr>
          <w:sz w:val="26"/>
          <w:szCs w:val="26"/>
        </w:rPr>
        <w:t>ự về tội đánh bạc đối với lần đánh bạc đó.</w:t>
      </w:r>
    </w:p>
    <w:p w:rsidR="00DD7837" w:rsidRDefault="000E06D6">
      <w:pPr>
        <w:spacing w:line="300" w:lineRule="auto"/>
        <w:rPr>
          <w:sz w:val="26"/>
          <w:szCs w:val="26"/>
        </w:rPr>
      </w:pPr>
      <w:r>
        <w:rPr>
          <w:sz w:val="26"/>
          <w:szCs w:val="26"/>
        </w:rPr>
        <w:t>c. Nếu tổng số tiền, giá trị hiện vật dùng để đánh bạc của từng lần đánh bạc bằng hoặc trên mức tối thiểu để truy cứu trách nhiệm hình sự (ví dụ: cá độ bóng đá từ 2 lần trở lên) thì người đánh bạc phải bị truy cứu</w:t>
      </w:r>
      <w:r>
        <w:rPr>
          <w:sz w:val="26"/>
          <w:szCs w:val="26"/>
        </w:rPr>
        <w:t xml:space="preserve"> trách nhiệm hình sự về tội đánh bạc với tình tiết tăng nặng “phạm tội nhiều lần” quy định tại điểm g khoản 1 Điều 48 Bộ luật Hình sự.</w:t>
      </w:r>
    </w:p>
    <w:p w:rsidR="00DD7837" w:rsidRDefault="000E06D6">
      <w:pPr>
        <w:spacing w:line="300" w:lineRule="auto"/>
        <w:rPr>
          <w:sz w:val="26"/>
          <w:szCs w:val="26"/>
        </w:rPr>
      </w:pPr>
      <w:r>
        <w:rPr>
          <w:sz w:val="26"/>
          <w:szCs w:val="26"/>
        </w:rPr>
        <w:lastRenderedPageBreak/>
        <w:t xml:space="preserve">d. Nếu phạm tội đánh bạc nhiều lần (ví dụ: cá độ bóng đá từ 5 lần trở lên), thực hiện một cách liên tục, kế tiếp nhau về </w:t>
      </w:r>
      <w:r>
        <w:rPr>
          <w:sz w:val="26"/>
          <w:szCs w:val="26"/>
        </w:rPr>
        <w:t>thời gian và lấy tiền, hiện vật do đánh bạc mà có làm nguồn sống thì người đánh bạc phải bị truy cứu trách nhiệm hình sự về tội đánh bạc với tình tiết định khung “có tính chất chuyên nghiệp” quy định tại điểm a khoản 2 Điều 248 Bộ luật Hình sự.</w:t>
      </w:r>
    </w:p>
    <w:p w:rsidR="00DD7837" w:rsidRDefault="000E06D6">
      <w:pPr>
        <w:spacing w:line="300" w:lineRule="auto"/>
        <w:rPr>
          <w:sz w:val="26"/>
          <w:szCs w:val="26"/>
        </w:rPr>
      </w:pPr>
      <w:r>
        <w:rPr>
          <w:sz w:val="26"/>
          <w:szCs w:val="26"/>
        </w:rPr>
        <w:t>Trên đây là</w:t>
      </w:r>
      <w:r>
        <w:rPr>
          <w:sz w:val="26"/>
          <w:szCs w:val="26"/>
        </w:rPr>
        <w:t xml:space="preserve"> ý kiến của Viện khoa học xét xử Tòa án nhân dân tối cao để quý Toà tham khảo, vận dụng trong quá trình giải quyết vụ án tại địa phương.</w:t>
      </w:r>
    </w:p>
    <w:p w:rsidR="003B5703" w:rsidRDefault="003B5703" w:rsidP="003B5703">
      <w:pPr>
        <w:spacing w:line="300"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83"/>
      </w:tblGrid>
      <w:tr w:rsidR="003B5703" w:rsidTr="003B5703">
        <w:tc>
          <w:tcPr>
            <w:tcW w:w="2972" w:type="dxa"/>
          </w:tcPr>
          <w:p w:rsidR="003B5703" w:rsidRPr="003B5703" w:rsidRDefault="003B5703" w:rsidP="003B5703">
            <w:pPr>
              <w:spacing w:line="300" w:lineRule="auto"/>
              <w:ind w:firstLine="0"/>
              <w:rPr>
                <w:b/>
                <w:i/>
                <w:sz w:val="22"/>
                <w:szCs w:val="22"/>
              </w:rPr>
            </w:pPr>
            <w:r w:rsidRPr="003B5703">
              <w:rPr>
                <w:b/>
                <w:i/>
                <w:sz w:val="22"/>
                <w:szCs w:val="22"/>
              </w:rPr>
              <w:t>Nơi nhận:</w:t>
            </w:r>
          </w:p>
          <w:p w:rsidR="003B5703" w:rsidRPr="003B5703" w:rsidRDefault="003B5703" w:rsidP="003B5703">
            <w:pPr>
              <w:spacing w:line="300" w:lineRule="auto"/>
              <w:ind w:firstLine="0"/>
              <w:rPr>
                <w:sz w:val="20"/>
                <w:szCs w:val="20"/>
              </w:rPr>
            </w:pPr>
            <w:r w:rsidRPr="003B5703">
              <w:rPr>
                <w:sz w:val="20"/>
                <w:szCs w:val="20"/>
              </w:rPr>
              <w:t>– Như kính gửi;</w:t>
            </w:r>
          </w:p>
          <w:p w:rsidR="003B5703" w:rsidRPr="003B5703" w:rsidRDefault="003B5703" w:rsidP="003B5703">
            <w:pPr>
              <w:spacing w:line="300" w:lineRule="auto"/>
              <w:ind w:firstLine="0"/>
              <w:rPr>
                <w:sz w:val="20"/>
                <w:szCs w:val="20"/>
              </w:rPr>
            </w:pPr>
            <w:r w:rsidRPr="003B5703">
              <w:rPr>
                <w:sz w:val="20"/>
                <w:szCs w:val="20"/>
              </w:rPr>
              <w:t>– Đồn</w:t>
            </w:r>
            <w:r w:rsidRPr="003B5703">
              <w:rPr>
                <w:sz w:val="20"/>
                <w:szCs w:val="20"/>
              </w:rPr>
              <w:t>g chí Chánh án TANDTC (để b/c);</w:t>
            </w:r>
          </w:p>
          <w:p w:rsidR="003B5703" w:rsidRPr="003B5703" w:rsidRDefault="003B5703" w:rsidP="003B5703">
            <w:pPr>
              <w:spacing w:line="300" w:lineRule="auto"/>
              <w:ind w:firstLine="0"/>
              <w:rPr>
                <w:sz w:val="20"/>
                <w:szCs w:val="20"/>
              </w:rPr>
            </w:pPr>
            <w:r w:rsidRPr="003B5703">
              <w:rPr>
                <w:sz w:val="20"/>
                <w:szCs w:val="20"/>
              </w:rPr>
              <w:t>– Cá</w:t>
            </w:r>
            <w:r w:rsidRPr="003B5703">
              <w:rPr>
                <w:sz w:val="20"/>
                <w:szCs w:val="20"/>
              </w:rPr>
              <w:t>c đồng chí Phó Chánh án TANDTC;</w:t>
            </w:r>
          </w:p>
          <w:p w:rsidR="003B5703" w:rsidRDefault="003B5703" w:rsidP="003B5703">
            <w:pPr>
              <w:spacing w:line="300" w:lineRule="auto"/>
              <w:ind w:firstLine="0"/>
              <w:rPr>
                <w:sz w:val="26"/>
                <w:szCs w:val="26"/>
              </w:rPr>
            </w:pPr>
            <w:r w:rsidRPr="003B5703">
              <w:rPr>
                <w:sz w:val="20"/>
                <w:szCs w:val="20"/>
              </w:rPr>
              <w:t>– Lưu: VT (VP, Vụ PC&amp;QLKH).</w:t>
            </w:r>
          </w:p>
        </w:tc>
        <w:tc>
          <w:tcPr>
            <w:tcW w:w="6083" w:type="dxa"/>
          </w:tcPr>
          <w:p w:rsidR="003B5703" w:rsidRPr="003B5703" w:rsidRDefault="003B5703" w:rsidP="003B5703">
            <w:pPr>
              <w:spacing w:line="300" w:lineRule="auto"/>
              <w:ind w:firstLine="0"/>
              <w:jc w:val="center"/>
              <w:rPr>
                <w:b/>
                <w:sz w:val="26"/>
                <w:szCs w:val="26"/>
              </w:rPr>
            </w:pPr>
            <w:r w:rsidRPr="003B5703">
              <w:rPr>
                <w:b/>
                <w:sz w:val="26"/>
                <w:szCs w:val="26"/>
              </w:rPr>
              <w:t>TL. CHÁNH ÁN</w:t>
            </w:r>
          </w:p>
          <w:p w:rsidR="003B5703" w:rsidRPr="003B5703" w:rsidRDefault="003B5703" w:rsidP="003B5703">
            <w:pPr>
              <w:spacing w:line="300" w:lineRule="auto"/>
              <w:ind w:firstLine="0"/>
              <w:jc w:val="center"/>
              <w:rPr>
                <w:b/>
                <w:sz w:val="26"/>
                <w:szCs w:val="26"/>
              </w:rPr>
            </w:pPr>
            <w:r w:rsidRPr="003B5703">
              <w:rPr>
                <w:b/>
                <w:sz w:val="26"/>
                <w:szCs w:val="26"/>
              </w:rPr>
              <w:t>TOÀ ÁN NHÂN DÂN TỐI CAO</w:t>
            </w:r>
          </w:p>
          <w:p w:rsidR="003B5703" w:rsidRPr="003B5703" w:rsidRDefault="003B5703" w:rsidP="003B5703">
            <w:pPr>
              <w:spacing w:line="300" w:lineRule="auto"/>
              <w:ind w:firstLine="0"/>
              <w:jc w:val="center"/>
              <w:rPr>
                <w:b/>
                <w:sz w:val="26"/>
                <w:szCs w:val="26"/>
              </w:rPr>
            </w:pPr>
            <w:r w:rsidRPr="003B5703">
              <w:rPr>
                <w:b/>
                <w:sz w:val="26"/>
                <w:szCs w:val="26"/>
              </w:rPr>
              <w:t>KT. V</w:t>
            </w:r>
            <w:r w:rsidRPr="003B5703">
              <w:rPr>
                <w:b/>
                <w:sz w:val="26"/>
                <w:szCs w:val="26"/>
              </w:rPr>
              <w:t>IỆN TRƯỞNG VIỆN KHOA HỌC XÉT XỬ</w:t>
            </w:r>
          </w:p>
          <w:p w:rsidR="003B5703" w:rsidRPr="003B5703" w:rsidRDefault="003B5703" w:rsidP="003B5703">
            <w:pPr>
              <w:spacing w:line="300" w:lineRule="auto"/>
              <w:ind w:firstLine="0"/>
              <w:jc w:val="center"/>
              <w:rPr>
                <w:b/>
                <w:sz w:val="26"/>
                <w:szCs w:val="26"/>
              </w:rPr>
            </w:pPr>
            <w:r>
              <w:rPr>
                <w:b/>
                <w:sz w:val="26"/>
                <w:szCs w:val="26"/>
              </w:rPr>
              <w:t>PHÓ VIỆN TRƯỞNG</w:t>
            </w:r>
          </w:p>
          <w:p w:rsidR="003B5703" w:rsidRPr="003B5703" w:rsidRDefault="003B5703" w:rsidP="003B5703">
            <w:pPr>
              <w:spacing w:line="300" w:lineRule="auto"/>
              <w:ind w:firstLine="0"/>
              <w:jc w:val="center"/>
              <w:rPr>
                <w:sz w:val="26"/>
                <w:szCs w:val="26"/>
              </w:rPr>
            </w:pPr>
          </w:p>
          <w:p w:rsidR="003B5703" w:rsidRPr="003B5703" w:rsidRDefault="003B5703" w:rsidP="003B5703">
            <w:pPr>
              <w:spacing w:line="300" w:lineRule="auto"/>
              <w:ind w:firstLine="0"/>
              <w:jc w:val="center"/>
              <w:rPr>
                <w:i/>
                <w:sz w:val="26"/>
                <w:szCs w:val="26"/>
              </w:rPr>
            </w:pPr>
            <w:r w:rsidRPr="003B5703">
              <w:rPr>
                <w:i/>
                <w:sz w:val="26"/>
                <w:szCs w:val="26"/>
              </w:rPr>
              <w:t>(Đã ký và đóng dấu)</w:t>
            </w:r>
          </w:p>
          <w:p w:rsidR="003B5703" w:rsidRPr="003B5703" w:rsidRDefault="003B5703" w:rsidP="003B5703">
            <w:pPr>
              <w:spacing w:line="300" w:lineRule="auto"/>
              <w:ind w:firstLine="0"/>
              <w:rPr>
                <w:sz w:val="26"/>
                <w:szCs w:val="26"/>
              </w:rPr>
            </w:pPr>
          </w:p>
          <w:p w:rsidR="003B5703" w:rsidRPr="003B5703" w:rsidRDefault="003B5703" w:rsidP="003B5703">
            <w:pPr>
              <w:spacing w:line="300" w:lineRule="auto"/>
              <w:ind w:firstLine="0"/>
              <w:jc w:val="center"/>
              <w:rPr>
                <w:b/>
                <w:sz w:val="26"/>
                <w:szCs w:val="26"/>
              </w:rPr>
            </w:pPr>
            <w:r w:rsidRPr="003B5703">
              <w:rPr>
                <w:b/>
                <w:sz w:val="26"/>
                <w:szCs w:val="26"/>
              </w:rPr>
              <w:t>Nguyễn Thị Thanh Thuỷ</w:t>
            </w:r>
          </w:p>
        </w:tc>
      </w:tr>
    </w:tbl>
    <w:p w:rsidR="00DD7837" w:rsidRDefault="00DD7837" w:rsidP="003B5703">
      <w:pPr>
        <w:spacing w:line="300" w:lineRule="auto"/>
        <w:ind w:firstLine="0"/>
        <w:rPr>
          <w:sz w:val="26"/>
          <w:szCs w:val="26"/>
        </w:rPr>
      </w:pPr>
      <w:bookmarkStart w:id="1" w:name="_GoBack"/>
      <w:bookmarkEnd w:id="1"/>
    </w:p>
    <w:sectPr w:rsidR="00DD7837">
      <w:headerReference w:type="default" r:id="rId7"/>
      <w:footerReference w:type="default" r:id="rId8"/>
      <w:footerReference w:type="first" r:id="rId9"/>
      <w:pgSz w:w="11900" w:h="16840"/>
      <w:pgMar w:top="1701" w:right="1134" w:bottom="1276" w:left="1701" w:header="850"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6D6" w:rsidRDefault="000E06D6">
      <w:pPr>
        <w:spacing w:line="240" w:lineRule="auto"/>
      </w:pPr>
      <w:r>
        <w:separator/>
      </w:r>
    </w:p>
  </w:endnote>
  <w:endnote w:type="continuationSeparator" w:id="0">
    <w:p w:rsidR="000E06D6" w:rsidRDefault="000E06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FE5818E2-6519-43E7-BE24-45378BECCF1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412A6CA7-070D-45F9-A6CE-71BBC964805A}"/>
  </w:font>
  <w:font w:name="Cambria">
    <w:panose1 w:val="02040503050406030204"/>
    <w:charset w:val="00"/>
    <w:family w:val="roman"/>
    <w:pitch w:val="variable"/>
    <w:sig w:usb0="E00006FF" w:usb1="420024FF" w:usb2="02000000" w:usb3="00000000" w:csb0="0000019F" w:csb1="00000000"/>
    <w:embedRegular r:id="rId3" w:fontKey="{0AC90FC4-A8BF-489A-945F-784B4CB625BA}"/>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837" w:rsidRDefault="000E06D6">
    <w:pPr>
      <w:pBdr>
        <w:top w:val="nil"/>
        <w:left w:val="nil"/>
        <w:bottom w:val="nil"/>
        <w:right w:val="nil"/>
        <w:between w:val="nil"/>
      </w:pBdr>
      <w:tabs>
        <w:tab w:val="center" w:pos="4680"/>
        <w:tab w:val="right" w:pos="9360"/>
      </w:tabs>
      <w:spacing w:line="240" w:lineRule="auto"/>
      <w:ind w:firstLine="0"/>
      <w:jc w:val="right"/>
      <w:rPr>
        <w:color w:val="BFBFBF"/>
        <w:sz w:val="18"/>
        <w:szCs w:val="18"/>
      </w:rPr>
    </w:pPr>
    <w:r>
      <w:rPr>
        <w:color w:val="A6A6A6"/>
        <w:sz w:val="18"/>
        <w:szCs w:val="18"/>
      </w:rPr>
      <w:t xml:space="preserve">Tài liệu được biên tập bởi TailieuPhapluat.Com. Tải thêm Văn bản pháp luật miễn phí tại: </w:t>
    </w:r>
    <w:hyperlink r:id="rId1">
      <w:r>
        <w:rPr>
          <w:color w:val="034A90"/>
          <w:sz w:val="18"/>
          <w:szCs w:val="18"/>
          <w:u w:val="single"/>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837" w:rsidRDefault="000E06D6">
    <w:pPr>
      <w:pBdr>
        <w:top w:val="nil"/>
        <w:left w:val="nil"/>
        <w:bottom w:val="nil"/>
        <w:right w:val="nil"/>
        <w:between w:val="nil"/>
      </w:pBdr>
      <w:tabs>
        <w:tab w:val="center" w:pos="4680"/>
        <w:tab w:val="right" w:pos="9360"/>
      </w:tabs>
      <w:spacing w:line="240" w:lineRule="auto"/>
      <w:rPr>
        <w:color w:val="BFBFBF"/>
        <w:sz w:val="20"/>
        <w:szCs w:val="20"/>
      </w:rPr>
    </w:pPr>
    <w:r>
      <w:rPr>
        <w:color w:val="BFBFBF"/>
        <w:sz w:val="20"/>
        <w:szCs w:val="20"/>
      </w:rPr>
      <w:t xml:space="preserve">Xem thêm tài liệu pháp luật miễn phí tại: </w:t>
    </w:r>
    <w:hyperlink r:id="rId1">
      <w:r>
        <w:rPr>
          <w:color w:val="0563C1"/>
          <w:sz w:val="20"/>
          <w:szCs w:val="20"/>
          <w:u w:val="single"/>
        </w:rPr>
        <w:t>TailieuPhapluat.Com/van-ban/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6D6" w:rsidRDefault="000E06D6">
      <w:pPr>
        <w:spacing w:line="240" w:lineRule="auto"/>
      </w:pPr>
      <w:r>
        <w:separator/>
      </w:r>
    </w:p>
  </w:footnote>
  <w:footnote w:type="continuationSeparator" w:id="0">
    <w:p w:rsidR="000E06D6" w:rsidRDefault="000E06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837" w:rsidRDefault="000E06D6">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Pr>
        <w:color w:val="000000"/>
        <w:sz w:val="26"/>
        <w:szCs w:val="26"/>
      </w:rPr>
      <w:fldChar w:fldCharType="begin"/>
    </w:r>
    <w:r>
      <w:rPr>
        <w:color w:val="000000"/>
        <w:sz w:val="26"/>
        <w:szCs w:val="26"/>
      </w:rPr>
      <w:instrText>PAGE</w:instrText>
    </w:r>
    <w:r w:rsidR="003B5703">
      <w:rPr>
        <w:color w:val="000000"/>
        <w:sz w:val="26"/>
        <w:szCs w:val="26"/>
      </w:rPr>
      <w:fldChar w:fldCharType="separate"/>
    </w:r>
    <w:r w:rsidR="003B5703">
      <w:rPr>
        <w:noProof/>
        <w:color w:val="000000"/>
        <w:sz w:val="26"/>
        <w:szCs w:val="26"/>
      </w:rPr>
      <w:t>2</w:t>
    </w:r>
    <w:r>
      <w:rPr>
        <w:color w:val="000000"/>
        <w:sz w:val="26"/>
        <w:szCs w:val="26"/>
      </w:rPr>
      <w:fldChar w:fldCharType="end"/>
    </w:r>
    <w:r>
      <w:rPr>
        <w:color w:val="000000"/>
        <w:sz w:val="26"/>
        <w:szCs w:val="2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837"/>
    <w:rsid w:val="000E06D6"/>
    <w:rsid w:val="003B5703"/>
    <w:rsid w:val="00DD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350D"/>
  <w15:docId w15:val="{FCDD45D7-EF02-4BAC-A3E7-728A035E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120" w:after="120" w:line="312" w:lineRule="auto"/>
      <w:ind w:firstLine="0"/>
      <w:jc w:val="center"/>
      <w:outlineLvl w:val="0"/>
    </w:pPr>
    <w:rPr>
      <w:b/>
      <w:bCs/>
    </w:rPr>
  </w:style>
  <w:style w:type="paragraph" w:styleId="Heading2">
    <w:name w:val="heading 2"/>
    <w:basedOn w:val="Normal"/>
    <w:next w:val="Normal"/>
    <w:pPr>
      <w:keepNext/>
      <w:keepLines/>
      <w:spacing w:before="120" w:after="120" w:line="312" w:lineRule="auto"/>
      <w:outlineLvl w:val="1"/>
    </w:pPr>
    <w:rPr>
      <w:b/>
      <w:bCs/>
      <w:sz w:val="26"/>
      <w:szCs w:val="26"/>
    </w:rPr>
  </w:style>
  <w:style w:type="paragraph" w:styleId="Heading3">
    <w:name w:val="heading 3"/>
    <w:basedOn w:val="Normal"/>
    <w:next w:val="Normal"/>
    <w:pPr>
      <w:keepNext/>
      <w:keepLines/>
      <w:spacing w:before="120" w:after="120" w:line="312" w:lineRule="auto"/>
      <w:outlineLvl w:val="2"/>
    </w:pPr>
    <w:rPr>
      <w:b/>
      <w:bCs/>
      <w:i/>
      <w:iCs/>
      <w:sz w:val="26"/>
      <w:szCs w:val="26"/>
    </w:rPr>
  </w:style>
  <w:style w:type="paragraph" w:styleId="Heading4">
    <w:name w:val="heading 4"/>
    <w:basedOn w:val="Normal"/>
    <w:next w:val="Normal"/>
    <w:pPr>
      <w:keepNext/>
      <w:keepLines/>
      <w:spacing w:before="120" w:after="120" w:line="312" w:lineRule="auto"/>
      <w:outlineLvl w:val="3"/>
    </w:pPr>
    <w:rPr>
      <w:i/>
      <w:iCs/>
      <w:sz w:val="26"/>
      <w:szCs w:val="26"/>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styleId="TableGrid">
    <w:name w:val="Table Grid"/>
    <w:basedOn w:val="TableNormal"/>
    <w:uiPriority w:val="39"/>
    <w:rsid w:val="003B570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gBmlhTZ++8D+IF0eD6gtCDro3g==">CgMxLjAyDmguMWh4bzd5eXcyZW9oOAByITFxT01sa2t5WFhvaC1GSWF6TXRpdFB2U1gzelR5S0ViSQ==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Thanh</cp:lastModifiedBy>
  <cp:revision>2</cp:revision>
  <dcterms:created xsi:type="dcterms:W3CDTF">2026-07-10T06:30:00Z</dcterms:created>
  <dcterms:modified xsi:type="dcterms:W3CDTF">2026-07-10T06:32:00Z</dcterms:modified>
</cp:coreProperties>
</file>